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4B1B" w:rsidRDefault="00C64B1B" w:rsidP="00C64B1B">
      <w:pPr>
        <w:jc w:val="center"/>
      </w:pPr>
    </w:p>
    <w:tbl>
      <w:tblPr>
        <w:tblW w:w="14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
        <w:gridCol w:w="1203"/>
        <w:gridCol w:w="1436"/>
        <w:gridCol w:w="6642"/>
        <w:gridCol w:w="4514"/>
      </w:tblGrid>
      <w:tr w:rsidR="00807385" w:rsidTr="006A7837">
        <w:trPr>
          <w:jc w:val="center"/>
        </w:trPr>
        <w:tc>
          <w:tcPr>
            <w:tcW w:w="14545" w:type="dxa"/>
            <w:gridSpan w:val="5"/>
            <w:shd w:val="clear" w:color="auto" w:fill="auto"/>
            <w:vAlign w:val="center"/>
          </w:tcPr>
          <w:p w:rsidR="00807385" w:rsidRPr="00893600" w:rsidRDefault="00807385" w:rsidP="00893600">
            <w:pPr>
              <w:spacing w:before="120" w:after="120"/>
              <w:ind w:left="2948" w:hanging="2948"/>
              <w:rPr>
                <w:b/>
              </w:rPr>
            </w:pPr>
            <w:r w:rsidRPr="004D086F">
              <w:rPr>
                <w:b/>
                <w:i/>
              </w:rPr>
              <w:t>Nazwa projektu dokumentu</w:t>
            </w:r>
            <w:r w:rsidR="002E0D6A" w:rsidRPr="004D086F">
              <w:rPr>
                <w:b/>
                <w:i/>
              </w:rPr>
              <w:t>:</w:t>
            </w:r>
            <w:r w:rsidR="00564F2F">
              <w:rPr>
                <w:b/>
                <w:i/>
              </w:rPr>
              <w:t xml:space="preserve"> </w:t>
            </w:r>
            <w:r w:rsidR="00893600">
              <w:rPr>
                <w:b/>
              </w:rPr>
              <w:t>r</w:t>
            </w:r>
            <w:r w:rsidR="00893600" w:rsidRPr="00893600">
              <w:rPr>
                <w:b/>
              </w:rPr>
              <w:t>ozporządzenie Ministra Cyfryzacji w sprawie profilu zaufanego</w:t>
            </w:r>
            <w:r w:rsidR="00893600">
              <w:rPr>
                <w:b/>
              </w:rPr>
              <w:t xml:space="preserve"> </w:t>
            </w:r>
            <w:r w:rsidR="00893600" w:rsidRPr="00893600">
              <w:rPr>
                <w:b/>
              </w:rPr>
              <w:t>i podpisu zaufanego (MC 153)</w:t>
            </w:r>
          </w:p>
        </w:tc>
      </w:tr>
      <w:tr w:rsidR="00807385" w:rsidTr="006A7837">
        <w:trPr>
          <w:jc w:val="center"/>
        </w:trPr>
        <w:tc>
          <w:tcPr>
            <w:tcW w:w="750" w:type="dxa"/>
            <w:shd w:val="clear" w:color="auto" w:fill="auto"/>
            <w:vAlign w:val="center"/>
          </w:tcPr>
          <w:p w:rsidR="00807385" w:rsidRPr="004D086F" w:rsidRDefault="00807385" w:rsidP="00B67B92">
            <w:pPr>
              <w:jc w:val="center"/>
              <w:rPr>
                <w:b/>
              </w:rPr>
            </w:pPr>
            <w:r w:rsidRPr="004D086F">
              <w:rPr>
                <w:b/>
              </w:rPr>
              <w:t>L.p.</w:t>
            </w:r>
          </w:p>
        </w:tc>
        <w:tc>
          <w:tcPr>
            <w:tcW w:w="1203" w:type="dxa"/>
            <w:shd w:val="clear" w:color="auto" w:fill="auto"/>
            <w:vAlign w:val="center"/>
          </w:tcPr>
          <w:p w:rsidR="00807385" w:rsidRPr="004D086F" w:rsidRDefault="00807385" w:rsidP="004D086F">
            <w:pPr>
              <w:jc w:val="center"/>
              <w:rPr>
                <w:b/>
              </w:rPr>
            </w:pPr>
            <w:r w:rsidRPr="004D086F">
              <w:rPr>
                <w:b/>
              </w:rPr>
              <w:t>Organ wnoszący uwagi</w:t>
            </w:r>
          </w:p>
        </w:tc>
        <w:tc>
          <w:tcPr>
            <w:tcW w:w="1436" w:type="dxa"/>
            <w:shd w:val="clear" w:color="auto" w:fill="auto"/>
            <w:vAlign w:val="center"/>
          </w:tcPr>
          <w:p w:rsidR="00807385" w:rsidRPr="004D086F" w:rsidRDefault="00807385" w:rsidP="004D086F">
            <w:pPr>
              <w:jc w:val="center"/>
              <w:rPr>
                <w:b/>
              </w:rPr>
            </w:pPr>
            <w:r w:rsidRPr="004D086F">
              <w:rPr>
                <w:b/>
              </w:rPr>
              <w:t>Jednostka redakcyjna, do której wnoszone są uwagi</w:t>
            </w:r>
          </w:p>
        </w:tc>
        <w:tc>
          <w:tcPr>
            <w:tcW w:w="6642" w:type="dxa"/>
            <w:shd w:val="clear" w:color="auto" w:fill="auto"/>
            <w:vAlign w:val="center"/>
          </w:tcPr>
          <w:p w:rsidR="00807385" w:rsidRPr="004D086F" w:rsidRDefault="00807385" w:rsidP="004D086F">
            <w:pPr>
              <w:jc w:val="center"/>
              <w:rPr>
                <w:b/>
              </w:rPr>
            </w:pPr>
            <w:r w:rsidRPr="004D086F">
              <w:rPr>
                <w:b/>
              </w:rPr>
              <w:t>Treść uwagi</w:t>
            </w:r>
          </w:p>
        </w:tc>
        <w:tc>
          <w:tcPr>
            <w:tcW w:w="4514" w:type="dxa"/>
            <w:shd w:val="clear" w:color="auto" w:fill="auto"/>
            <w:vAlign w:val="center"/>
          </w:tcPr>
          <w:p w:rsidR="00807385" w:rsidRPr="004D086F" w:rsidRDefault="00807385" w:rsidP="004D086F">
            <w:pPr>
              <w:jc w:val="center"/>
              <w:rPr>
                <w:b/>
              </w:rPr>
            </w:pPr>
            <w:r w:rsidRPr="004D086F">
              <w:rPr>
                <w:b/>
              </w:rPr>
              <w:t>Propozycja zmian zapisu</w:t>
            </w:r>
          </w:p>
        </w:tc>
      </w:tr>
      <w:tr w:rsidR="00807385" w:rsidTr="006A7837">
        <w:trPr>
          <w:jc w:val="center"/>
        </w:trPr>
        <w:tc>
          <w:tcPr>
            <w:tcW w:w="750" w:type="dxa"/>
            <w:shd w:val="clear" w:color="auto" w:fill="auto"/>
            <w:vAlign w:val="center"/>
          </w:tcPr>
          <w:p w:rsidR="00807385" w:rsidRPr="004D086F" w:rsidRDefault="00807385" w:rsidP="006A7837">
            <w:pPr>
              <w:numPr>
                <w:ilvl w:val="0"/>
                <w:numId w:val="3"/>
              </w:numPr>
              <w:spacing w:before="60" w:after="60"/>
              <w:jc w:val="center"/>
              <w:rPr>
                <w:b/>
              </w:rPr>
            </w:pPr>
          </w:p>
        </w:tc>
        <w:tc>
          <w:tcPr>
            <w:tcW w:w="1203" w:type="dxa"/>
            <w:shd w:val="clear" w:color="auto" w:fill="auto"/>
            <w:vAlign w:val="center"/>
          </w:tcPr>
          <w:p w:rsidR="00807385" w:rsidRPr="004D086F" w:rsidRDefault="005310EA" w:rsidP="006A7837">
            <w:pPr>
              <w:spacing w:before="60" w:after="60"/>
              <w:jc w:val="center"/>
              <w:rPr>
                <w:b/>
              </w:rPr>
            </w:pPr>
            <w:r>
              <w:rPr>
                <w:b/>
              </w:rPr>
              <w:t>Rządowe Centrum Legislacji</w:t>
            </w:r>
          </w:p>
        </w:tc>
        <w:tc>
          <w:tcPr>
            <w:tcW w:w="1436" w:type="dxa"/>
            <w:shd w:val="clear" w:color="auto" w:fill="auto"/>
            <w:vAlign w:val="center"/>
          </w:tcPr>
          <w:p w:rsidR="00807385" w:rsidRDefault="001405A7" w:rsidP="002E0D6A">
            <w:pPr>
              <w:jc w:val="center"/>
            </w:pPr>
            <w:r>
              <w:t>Uwaga ogólna</w:t>
            </w:r>
          </w:p>
        </w:tc>
        <w:tc>
          <w:tcPr>
            <w:tcW w:w="6642" w:type="dxa"/>
            <w:shd w:val="clear" w:color="auto" w:fill="auto"/>
          </w:tcPr>
          <w:p w:rsidR="00807385" w:rsidRPr="00371A2B" w:rsidRDefault="001405A7" w:rsidP="00EC1D6D">
            <w:pPr>
              <w:jc w:val="both"/>
            </w:pPr>
            <w:r w:rsidRPr="00EC1D6D">
              <w:t>Projektodawca uwzględnił uwagę RCL dot. zmiany w § 1 projektu rozporządzenia w zakresie zgodności z upoważnieniem ustawowym, jednak wydaje się, że w ślad tej zmiany nie dokonano analizy projektu pod kątem realizacji tego upoważnienia w zakresie „</w:t>
            </w:r>
            <w:r w:rsidRPr="00EC1D6D">
              <w:rPr>
                <w:b/>
              </w:rPr>
              <w:t>wydawania</w:t>
            </w:r>
            <w:r w:rsidRPr="00EC1D6D">
              <w:t xml:space="preserve"> profilu zaufanego”. Projekt zawiera regulacje dotyczące potwierdzania profilu i występowania z wnioskiem o potwierdzenie profilu, brak przy tym powiązania między „wydawaniem profilu” a jego „potwierdzaniem”. Pojęcie wydawania profilu zaufanego pojawia się w projekcie jedynie w kontekście „systemu, w którym </w:t>
            </w:r>
            <w:r w:rsidRPr="00EC1D6D">
              <w:rPr>
                <w:b/>
              </w:rPr>
              <w:t>wydawany</w:t>
            </w:r>
            <w:r w:rsidRPr="00EC1D6D">
              <w:t xml:space="preserve"> jest profil zaufany”</w:t>
            </w:r>
            <w:r w:rsidR="00EC1D6D" w:rsidRPr="00EC1D6D">
              <w:t xml:space="preserve">. Powyższa uwaga powiązana jest z uwagą RCL dotyczącą </w:t>
            </w:r>
            <w:r w:rsidR="00EC1D6D">
              <w:t>uregulowania w projekcie</w:t>
            </w:r>
            <w:r w:rsidR="00EC1D6D" w:rsidRPr="00EC1D6D">
              <w:t xml:space="preserve"> </w:t>
            </w:r>
            <w:r w:rsidR="00EC1D6D">
              <w:t xml:space="preserve">jedynie </w:t>
            </w:r>
            <w:r w:rsidR="00EC1D6D" w:rsidRPr="00EC1D6D">
              <w:t>„wniosku o potwierdzenie profilu zaufanego” z całkowitym pominięciem wniosków</w:t>
            </w:r>
            <w:r w:rsidR="00EC1D6D">
              <w:t xml:space="preserve"> </w:t>
            </w:r>
            <w:r w:rsidR="00EC1D6D" w:rsidRPr="00EC1D6D">
              <w:t>o wydanie profilu zaufanego</w:t>
            </w:r>
            <w:r w:rsidR="00EC1D6D">
              <w:t>.</w:t>
            </w:r>
          </w:p>
        </w:tc>
        <w:tc>
          <w:tcPr>
            <w:tcW w:w="4514" w:type="dxa"/>
            <w:shd w:val="clear" w:color="auto" w:fill="auto"/>
          </w:tcPr>
          <w:p w:rsidR="00807385" w:rsidRDefault="007A40EC" w:rsidP="007A40EC">
            <w:pPr>
              <w:spacing w:line="276" w:lineRule="auto"/>
              <w:jc w:val="both"/>
            </w:pPr>
            <w:r>
              <w:t xml:space="preserve">Ponowna analiza przepisów i ich uzupełnienie o regulacje dotyczące warunków wydawania profilu, </w:t>
            </w:r>
            <w:r w:rsidR="00EC1D6D">
              <w:t xml:space="preserve">wnioskowania o wydanie profilu, </w:t>
            </w:r>
            <w:r>
              <w:t>a także uzupełnienie uzasadnienia w tym zakresie</w:t>
            </w:r>
            <w:r w:rsidR="002A69AA">
              <w:t>.</w:t>
            </w:r>
          </w:p>
        </w:tc>
      </w:tr>
      <w:tr w:rsidR="00B67B92" w:rsidTr="006A7837">
        <w:trPr>
          <w:jc w:val="center"/>
        </w:trPr>
        <w:tc>
          <w:tcPr>
            <w:tcW w:w="750" w:type="dxa"/>
            <w:shd w:val="clear" w:color="auto" w:fill="auto"/>
            <w:vAlign w:val="center"/>
          </w:tcPr>
          <w:p w:rsidR="00B67B92" w:rsidRPr="004D086F" w:rsidRDefault="00B67B92" w:rsidP="006A7837">
            <w:pPr>
              <w:numPr>
                <w:ilvl w:val="0"/>
                <w:numId w:val="3"/>
              </w:numPr>
              <w:spacing w:before="60" w:after="60"/>
              <w:jc w:val="center"/>
              <w:rPr>
                <w:b/>
              </w:rPr>
            </w:pPr>
          </w:p>
        </w:tc>
        <w:tc>
          <w:tcPr>
            <w:tcW w:w="1203" w:type="dxa"/>
            <w:shd w:val="clear" w:color="auto" w:fill="auto"/>
            <w:vAlign w:val="center"/>
          </w:tcPr>
          <w:p w:rsidR="00B67B92" w:rsidRDefault="00B67B92" w:rsidP="006A7837">
            <w:pPr>
              <w:spacing w:before="60" w:after="60"/>
              <w:jc w:val="center"/>
              <w:rPr>
                <w:b/>
              </w:rPr>
            </w:pPr>
          </w:p>
        </w:tc>
        <w:tc>
          <w:tcPr>
            <w:tcW w:w="1436" w:type="dxa"/>
            <w:shd w:val="clear" w:color="auto" w:fill="auto"/>
            <w:vAlign w:val="center"/>
          </w:tcPr>
          <w:p w:rsidR="00B67B92" w:rsidRDefault="00CC4E21" w:rsidP="002E0D6A">
            <w:pPr>
              <w:jc w:val="center"/>
            </w:pPr>
            <w:r>
              <w:t>§ 6</w:t>
            </w:r>
            <w:r w:rsidR="00F93B81">
              <w:t xml:space="preserve"> ust. 1 </w:t>
            </w:r>
          </w:p>
        </w:tc>
        <w:tc>
          <w:tcPr>
            <w:tcW w:w="6642" w:type="dxa"/>
            <w:shd w:val="clear" w:color="auto" w:fill="auto"/>
          </w:tcPr>
          <w:p w:rsidR="00B67B92" w:rsidRDefault="00CC4E21" w:rsidP="007363D6">
            <w:pPr>
              <w:jc w:val="both"/>
            </w:pPr>
            <w:r w:rsidRPr="00CC4E21">
              <w:t>Zwrócić należy uwa</w:t>
            </w:r>
            <w:r>
              <w:t>g</w:t>
            </w:r>
            <w:r w:rsidRPr="00CC4E21">
              <w:t>ę, że zgodnie z art. 20ad ust. 2</w:t>
            </w:r>
            <w:r>
              <w:t xml:space="preserve"> </w:t>
            </w:r>
            <w:r w:rsidRPr="00CC4E21">
              <w:t xml:space="preserve">ustawy </w:t>
            </w:r>
            <w:r w:rsidR="002A69AA">
              <w:t xml:space="preserve">z dnia 17 lutego 2005 r. o informatyzacji działalności podmiotów </w:t>
            </w:r>
            <w:r w:rsidR="007363D6">
              <w:t>realizujących zadania publiczne (</w:t>
            </w:r>
            <w:r w:rsidR="002A69AA">
              <w:t xml:space="preserve">dalej: ustawa) </w:t>
            </w:r>
            <w:r w:rsidRPr="00CC4E21">
              <w:t>w procedurze potwierdzania profilu zaufanego</w:t>
            </w:r>
            <w:r>
              <w:t xml:space="preserve"> jedynie </w:t>
            </w:r>
            <w:r w:rsidRPr="00CC4E21">
              <w:t>dane takie jak: imię (imiona), nazwisko, data urodzenia,</w:t>
            </w:r>
            <w:r>
              <w:t xml:space="preserve"> </w:t>
            </w:r>
            <w:r w:rsidRPr="00CC4E21">
              <w:t>numer PESEL są weryfikowane automatycznie z danymi</w:t>
            </w:r>
            <w:r>
              <w:t xml:space="preserve"> </w:t>
            </w:r>
            <w:r w:rsidRPr="00CC4E21">
              <w:t>zawartymi w rejestrze PESEL</w:t>
            </w:r>
            <w:r>
              <w:t>. Zmodyfikowany przepis § 6 ust. 1 weryfikacją automatyczną obejmuje też kwestię istnienia wizerunku wnioskodawcy w Rejestrze Dowodów</w:t>
            </w:r>
            <w:r w:rsidR="00F93B81">
              <w:t xml:space="preserve"> </w:t>
            </w:r>
            <w:r>
              <w:t xml:space="preserve">Osobistych, o którym mowa w ustawie z dnia 6 sierpnia 2010 r. o dowodach osobistych, co nie znajduje podstawy w ustawie. </w:t>
            </w:r>
          </w:p>
        </w:tc>
        <w:tc>
          <w:tcPr>
            <w:tcW w:w="4514" w:type="dxa"/>
            <w:shd w:val="clear" w:color="auto" w:fill="auto"/>
          </w:tcPr>
          <w:p w:rsidR="00B67B92" w:rsidRDefault="00CC4E21" w:rsidP="00651688">
            <w:pPr>
              <w:spacing w:line="276" w:lineRule="auto"/>
              <w:jc w:val="both"/>
            </w:pPr>
            <w:r>
              <w:t>Modyfikacja przepisu w sposób zgodny z ustawą</w:t>
            </w:r>
          </w:p>
        </w:tc>
      </w:tr>
      <w:tr w:rsidR="00B67B92" w:rsidTr="006A7837">
        <w:trPr>
          <w:jc w:val="center"/>
        </w:trPr>
        <w:tc>
          <w:tcPr>
            <w:tcW w:w="750" w:type="dxa"/>
            <w:shd w:val="clear" w:color="auto" w:fill="auto"/>
            <w:vAlign w:val="center"/>
          </w:tcPr>
          <w:p w:rsidR="00B67B92" w:rsidRPr="004D086F" w:rsidRDefault="00B67B92" w:rsidP="006A7837">
            <w:pPr>
              <w:numPr>
                <w:ilvl w:val="0"/>
                <w:numId w:val="3"/>
              </w:numPr>
              <w:spacing w:before="60" w:after="60"/>
              <w:jc w:val="center"/>
              <w:rPr>
                <w:b/>
              </w:rPr>
            </w:pPr>
          </w:p>
        </w:tc>
        <w:tc>
          <w:tcPr>
            <w:tcW w:w="1203" w:type="dxa"/>
            <w:shd w:val="clear" w:color="auto" w:fill="auto"/>
            <w:vAlign w:val="center"/>
          </w:tcPr>
          <w:p w:rsidR="00B67B92" w:rsidRDefault="00B67B92" w:rsidP="006A7837">
            <w:pPr>
              <w:spacing w:before="60" w:after="60"/>
              <w:jc w:val="center"/>
              <w:rPr>
                <w:b/>
              </w:rPr>
            </w:pPr>
          </w:p>
        </w:tc>
        <w:tc>
          <w:tcPr>
            <w:tcW w:w="1436" w:type="dxa"/>
            <w:shd w:val="clear" w:color="auto" w:fill="auto"/>
            <w:vAlign w:val="center"/>
          </w:tcPr>
          <w:p w:rsidR="00B67B92" w:rsidRDefault="005276C2" w:rsidP="002E0D6A">
            <w:pPr>
              <w:jc w:val="center"/>
            </w:pPr>
            <w:r>
              <w:t>§ 6 ust. 8</w:t>
            </w:r>
          </w:p>
        </w:tc>
        <w:tc>
          <w:tcPr>
            <w:tcW w:w="6642" w:type="dxa"/>
            <w:shd w:val="clear" w:color="auto" w:fill="auto"/>
          </w:tcPr>
          <w:p w:rsidR="005276C2" w:rsidRDefault="005276C2" w:rsidP="005276C2">
            <w:pPr>
              <w:jc w:val="both"/>
            </w:pPr>
            <w:r>
              <w:t>Ponowić należy uwagę dotyczącą § 6 ust. 8 projektu, zgodnie z którym osoba upoważniona do potwierdzania tymczasowego profilu zaufanego weryfikuje jakość sporządzonego nagrania, w</w:t>
            </w:r>
          </w:p>
          <w:p w:rsidR="005276C2" w:rsidRDefault="005276C2" w:rsidP="005276C2">
            <w:pPr>
              <w:jc w:val="both"/>
            </w:pPr>
            <w:r>
              <w:t xml:space="preserve">szczególności czy można na jego podstawie odczytać dane zawarte w warstwie graficznej dowodu osobistego albo paszportu wnioskodawcy oraz czy zarejestrowany został wizerunek wnioskodawcy, po czym dokonuje potwierdzenia, podpisując profil zaufany osoby wnioskującej. Wskazać ponownie należy, że potwierdzenie profilu nie zależy od jakości nagrania, lecz od weryfikacji tożsamości i wizerunku w trakcie transmisji audiowizualnej. Przedłożone w tym zakresie wyjaśnienia, wskazujące na przepis art. 20ca ust. 7 ustawy wydają się być niewystarczające. Przepis ten dotyczy obowiązku sporządzenia nagrania, a także przechowywania tego nagrania, a nie uzależnia weryfikacji wnioskodawcy, a co za tym idzie - potwierdzenia profilu, od jakości tego nagrania. </w:t>
            </w:r>
          </w:p>
          <w:p w:rsidR="00B67B92" w:rsidRDefault="00B67B92" w:rsidP="005276C2">
            <w:pPr>
              <w:jc w:val="both"/>
            </w:pPr>
          </w:p>
        </w:tc>
        <w:tc>
          <w:tcPr>
            <w:tcW w:w="4514" w:type="dxa"/>
            <w:shd w:val="clear" w:color="auto" w:fill="auto"/>
          </w:tcPr>
          <w:p w:rsidR="00B67B92" w:rsidRDefault="00924BEE" w:rsidP="00924BEE">
            <w:pPr>
              <w:spacing w:line="276" w:lineRule="auto"/>
              <w:jc w:val="both"/>
            </w:pPr>
            <w:r>
              <w:t>Analiza przepisów projektu i odpowiednia zmiana procedury potwierdzania profilu tymczasowego</w:t>
            </w:r>
          </w:p>
        </w:tc>
      </w:tr>
      <w:tr w:rsidR="00B67B92" w:rsidTr="006A7837">
        <w:trPr>
          <w:jc w:val="center"/>
        </w:trPr>
        <w:tc>
          <w:tcPr>
            <w:tcW w:w="750" w:type="dxa"/>
            <w:shd w:val="clear" w:color="auto" w:fill="auto"/>
            <w:vAlign w:val="center"/>
          </w:tcPr>
          <w:p w:rsidR="00B67B92" w:rsidRPr="004D086F" w:rsidRDefault="00B67B92" w:rsidP="006A7837">
            <w:pPr>
              <w:numPr>
                <w:ilvl w:val="0"/>
                <w:numId w:val="3"/>
              </w:numPr>
              <w:spacing w:before="60" w:after="60"/>
              <w:jc w:val="center"/>
              <w:rPr>
                <w:b/>
              </w:rPr>
            </w:pPr>
          </w:p>
        </w:tc>
        <w:tc>
          <w:tcPr>
            <w:tcW w:w="1203" w:type="dxa"/>
            <w:shd w:val="clear" w:color="auto" w:fill="auto"/>
            <w:vAlign w:val="center"/>
          </w:tcPr>
          <w:p w:rsidR="00B67B92" w:rsidRDefault="00B67B92" w:rsidP="006A7837">
            <w:pPr>
              <w:spacing w:before="60" w:after="60"/>
              <w:jc w:val="center"/>
              <w:rPr>
                <w:b/>
              </w:rPr>
            </w:pPr>
          </w:p>
        </w:tc>
        <w:tc>
          <w:tcPr>
            <w:tcW w:w="1436" w:type="dxa"/>
            <w:shd w:val="clear" w:color="auto" w:fill="auto"/>
            <w:vAlign w:val="center"/>
          </w:tcPr>
          <w:p w:rsidR="00B67B92" w:rsidRDefault="00F36B6D" w:rsidP="002E0D6A">
            <w:pPr>
              <w:jc w:val="center"/>
            </w:pPr>
            <w:r>
              <w:t>§ 7</w:t>
            </w:r>
          </w:p>
        </w:tc>
        <w:tc>
          <w:tcPr>
            <w:tcW w:w="6642" w:type="dxa"/>
            <w:shd w:val="clear" w:color="auto" w:fill="auto"/>
          </w:tcPr>
          <w:p w:rsidR="00F36B6D" w:rsidRDefault="00F36B6D" w:rsidP="00F36B6D">
            <w:pPr>
              <w:jc w:val="both"/>
            </w:pPr>
            <w:r>
              <w:t>Podtrzymać należy uwagę dotyczącą niedopuszczalności wprowadzenia do projektu przepisu § 7 w jego obecnej formie</w:t>
            </w:r>
          </w:p>
          <w:p w:rsidR="00F36B6D" w:rsidRDefault="00F36B6D" w:rsidP="00F36B6D">
            <w:pPr>
              <w:jc w:val="both"/>
            </w:pPr>
            <w:r>
              <w:t>- zobowiązującego ministra do dostosowania procesu potwierdzania tymczasowego profilu zaufanego do potrzeb osób z niepełnosprawnościami. Przepisy dostosowujące procedurę do</w:t>
            </w:r>
          </w:p>
          <w:p w:rsidR="00B67B92" w:rsidRDefault="00F36B6D" w:rsidP="00F36B6D">
            <w:pPr>
              <w:jc w:val="both"/>
            </w:pPr>
            <w:r>
              <w:t>specjalnych potrzeb powinny być bowiem wprowadzone do projektu jako przepisy materialne, w sposób wpisujący się w wykonanie upoważnienia ustawowego</w:t>
            </w:r>
          </w:p>
        </w:tc>
        <w:tc>
          <w:tcPr>
            <w:tcW w:w="4514" w:type="dxa"/>
            <w:shd w:val="clear" w:color="auto" w:fill="auto"/>
          </w:tcPr>
          <w:p w:rsidR="00B67B92" w:rsidRDefault="00B67B92" w:rsidP="00651688">
            <w:pPr>
              <w:spacing w:line="276" w:lineRule="auto"/>
              <w:jc w:val="both"/>
            </w:pPr>
          </w:p>
        </w:tc>
      </w:tr>
      <w:tr w:rsidR="00E00FD9" w:rsidTr="006A7837">
        <w:trPr>
          <w:jc w:val="center"/>
        </w:trPr>
        <w:tc>
          <w:tcPr>
            <w:tcW w:w="750" w:type="dxa"/>
            <w:shd w:val="clear" w:color="auto" w:fill="auto"/>
            <w:vAlign w:val="center"/>
          </w:tcPr>
          <w:p w:rsidR="00E00FD9" w:rsidRPr="004D086F" w:rsidRDefault="00E00FD9" w:rsidP="006A7837">
            <w:pPr>
              <w:numPr>
                <w:ilvl w:val="0"/>
                <w:numId w:val="3"/>
              </w:numPr>
              <w:spacing w:before="60" w:after="60"/>
              <w:jc w:val="center"/>
              <w:rPr>
                <w:b/>
              </w:rPr>
            </w:pPr>
          </w:p>
        </w:tc>
        <w:tc>
          <w:tcPr>
            <w:tcW w:w="1203" w:type="dxa"/>
            <w:shd w:val="clear" w:color="auto" w:fill="auto"/>
            <w:vAlign w:val="center"/>
          </w:tcPr>
          <w:p w:rsidR="00E00FD9" w:rsidRDefault="00E00FD9" w:rsidP="006A7837">
            <w:pPr>
              <w:spacing w:before="60" w:after="60"/>
              <w:jc w:val="center"/>
              <w:rPr>
                <w:b/>
              </w:rPr>
            </w:pPr>
          </w:p>
        </w:tc>
        <w:tc>
          <w:tcPr>
            <w:tcW w:w="1436" w:type="dxa"/>
            <w:shd w:val="clear" w:color="auto" w:fill="auto"/>
            <w:vAlign w:val="center"/>
          </w:tcPr>
          <w:p w:rsidR="00E00FD9" w:rsidRDefault="00120996" w:rsidP="002E0D6A">
            <w:pPr>
              <w:jc w:val="center"/>
            </w:pPr>
            <w:r>
              <w:t>§ 10</w:t>
            </w:r>
          </w:p>
        </w:tc>
        <w:tc>
          <w:tcPr>
            <w:tcW w:w="6642" w:type="dxa"/>
            <w:shd w:val="clear" w:color="auto" w:fill="auto"/>
          </w:tcPr>
          <w:p w:rsidR="00120996" w:rsidRDefault="00120996" w:rsidP="00120996">
            <w:pPr>
              <w:jc w:val="both"/>
            </w:pPr>
            <w:r>
              <w:t xml:space="preserve">Podtrzymać należy uwagę do </w:t>
            </w:r>
            <w:r w:rsidRPr="00120996">
              <w:t>przepis</w:t>
            </w:r>
            <w:r>
              <w:t>u</w:t>
            </w:r>
            <w:r w:rsidRPr="00120996">
              <w:t xml:space="preserve"> § 10 projektu rozporządzenia określa</w:t>
            </w:r>
            <w:r>
              <w:t>jącego</w:t>
            </w:r>
            <w:r w:rsidRPr="00120996">
              <w:t xml:space="preserve"> obowiązki spoczywające na</w:t>
            </w:r>
            <w:r>
              <w:t xml:space="preserve"> </w:t>
            </w:r>
            <w:r w:rsidRPr="00120996">
              <w:t xml:space="preserve">posiadaczu profilu zaufanego, </w:t>
            </w:r>
          </w:p>
          <w:p w:rsidR="00E00FD9" w:rsidRDefault="00E00FD9" w:rsidP="00120996">
            <w:pPr>
              <w:pStyle w:val="Akapitzlist"/>
              <w:ind w:left="0"/>
              <w:jc w:val="both"/>
              <w:rPr>
                <w:rFonts w:ascii="Times New Roman" w:hAnsi="Times New Roman"/>
                <w:sz w:val="24"/>
                <w:szCs w:val="24"/>
              </w:rPr>
            </w:pPr>
          </w:p>
        </w:tc>
        <w:tc>
          <w:tcPr>
            <w:tcW w:w="4514" w:type="dxa"/>
            <w:shd w:val="clear" w:color="auto" w:fill="auto"/>
          </w:tcPr>
          <w:p w:rsidR="00E00FD9" w:rsidRDefault="00E00FD9" w:rsidP="00651688">
            <w:pPr>
              <w:spacing w:line="276" w:lineRule="auto"/>
              <w:jc w:val="both"/>
            </w:pPr>
          </w:p>
        </w:tc>
      </w:tr>
      <w:tr w:rsidR="007D309D" w:rsidTr="006A7837">
        <w:trPr>
          <w:jc w:val="center"/>
        </w:trPr>
        <w:tc>
          <w:tcPr>
            <w:tcW w:w="750" w:type="dxa"/>
            <w:shd w:val="clear" w:color="auto" w:fill="auto"/>
            <w:vAlign w:val="center"/>
          </w:tcPr>
          <w:p w:rsidR="007D309D" w:rsidRPr="004D086F" w:rsidRDefault="007D309D" w:rsidP="006A7837">
            <w:pPr>
              <w:numPr>
                <w:ilvl w:val="0"/>
                <w:numId w:val="3"/>
              </w:numPr>
              <w:spacing w:before="60" w:after="60"/>
              <w:jc w:val="center"/>
              <w:rPr>
                <w:b/>
              </w:rPr>
            </w:pPr>
          </w:p>
        </w:tc>
        <w:tc>
          <w:tcPr>
            <w:tcW w:w="1203" w:type="dxa"/>
            <w:shd w:val="clear" w:color="auto" w:fill="auto"/>
            <w:vAlign w:val="center"/>
          </w:tcPr>
          <w:p w:rsidR="007D309D" w:rsidRDefault="007D309D" w:rsidP="006A7837">
            <w:pPr>
              <w:spacing w:before="60" w:after="60"/>
              <w:jc w:val="center"/>
              <w:rPr>
                <w:b/>
              </w:rPr>
            </w:pPr>
          </w:p>
        </w:tc>
        <w:tc>
          <w:tcPr>
            <w:tcW w:w="1436" w:type="dxa"/>
            <w:shd w:val="clear" w:color="auto" w:fill="auto"/>
            <w:vAlign w:val="center"/>
          </w:tcPr>
          <w:p w:rsidR="007D309D" w:rsidRDefault="007D309D" w:rsidP="002E0D6A">
            <w:pPr>
              <w:jc w:val="center"/>
            </w:pPr>
            <w:r>
              <w:t>§ 17 ust. 1</w:t>
            </w:r>
          </w:p>
        </w:tc>
        <w:tc>
          <w:tcPr>
            <w:tcW w:w="6642" w:type="dxa"/>
            <w:shd w:val="clear" w:color="auto" w:fill="auto"/>
          </w:tcPr>
          <w:p w:rsidR="007D309D" w:rsidRPr="007D309D" w:rsidRDefault="007D309D" w:rsidP="007D309D">
            <w:pPr>
              <w:jc w:val="both"/>
            </w:pPr>
            <w:r w:rsidRPr="007D309D">
              <w:t xml:space="preserve">Podtrzymać należy uwagę dotyczącą </w:t>
            </w:r>
            <w:r>
              <w:t>§ 17 ust. 1 projektu. Z</w:t>
            </w:r>
            <w:r w:rsidRPr="007D309D">
              <w:t>godnie z przepisem upoważniającym, rozporządzenie powinno określać m.in.</w:t>
            </w:r>
            <w:r>
              <w:t xml:space="preserve"> </w:t>
            </w:r>
            <w:r w:rsidRPr="007D309D">
              <w:t>warunki, które powinien spełniać punkt potwierdzający profil zaufany. Mając na uwadze, że</w:t>
            </w:r>
            <w:r>
              <w:t xml:space="preserve"> </w:t>
            </w:r>
            <w:r w:rsidRPr="007D309D">
              <w:t xml:space="preserve">projekt rozporządzenia nie </w:t>
            </w:r>
            <w:r w:rsidRPr="007D309D">
              <w:lastRenderedPageBreak/>
              <w:t>określa tych warunków, a jedynie w § 17 w ust. 1 wskazuje, że</w:t>
            </w:r>
            <w:r>
              <w:t xml:space="preserve"> </w:t>
            </w:r>
            <w:r w:rsidRPr="007D309D">
              <w:t>podmioty, o których mowa w art. 20c ust. 3 ustawy, chcąc pełnić funkcję punktu</w:t>
            </w:r>
            <w:r>
              <w:t xml:space="preserve"> </w:t>
            </w:r>
            <w:r w:rsidRPr="007D309D">
              <w:t>potwierdzającego składają oświadczenie, że spełniają wymagania określone w przepisach</w:t>
            </w:r>
            <w:r>
              <w:t xml:space="preserve"> </w:t>
            </w:r>
            <w:r w:rsidRPr="007D309D">
              <w:t>wydanych na podstawie art. 18 ustawy, nie wypełnia on przesłanek zawartych w</w:t>
            </w:r>
            <w:r>
              <w:t xml:space="preserve"> upoważnieniu z art. 20d ustawy. Ponadto wątpliwości budzi przepis ust. 4 zobowiązujący nie punkt potwierdzający, lecz osoby realizujące czynności związane z potwierdzaniem profilu zaufanego, do stosowania procedur, które nie są wprowadzane aktami powszechnie obowiązującego prawa, a są jedynie instrukcjami wewnętrznymi. </w:t>
            </w:r>
          </w:p>
        </w:tc>
        <w:tc>
          <w:tcPr>
            <w:tcW w:w="4514" w:type="dxa"/>
            <w:shd w:val="clear" w:color="auto" w:fill="auto"/>
          </w:tcPr>
          <w:p w:rsidR="007D309D" w:rsidRDefault="007D309D" w:rsidP="00651688">
            <w:pPr>
              <w:spacing w:line="276" w:lineRule="auto"/>
              <w:jc w:val="both"/>
            </w:pPr>
          </w:p>
        </w:tc>
      </w:tr>
      <w:tr w:rsidR="00284200" w:rsidTr="006A7837">
        <w:trPr>
          <w:jc w:val="center"/>
        </w:trPr>
        <w:tc>
          <w:tcPr>
            <w:tcW w:w="750" w:type="dxa"/>
            <w:shd w:val="clear" w:color="auto" w:fill="auto"/>
            <w:vAlign w:val="center"/>
          </w:tcPr>
          <w:p w:rsidR="00284200" w:rsidRPr="004D086F" w:rsidRDefault="00284200" w:rsidP="006A7837">
            <w:pPr>
              <w:numPr>
                <w:ilvl w:val="0"/>
                <w:numId w:val="3"/>
              </w:numPr>
              <w:spacing w:before="60" w:after="60"/>
              <w:jc w:val="center"/>
              <w:rPr>
                <w:b/>
              </w:rPr>
            </w:pPr>
          </w:p>
        </w:tc>
        <w:tc>
          <w:tcPr>
            <w:tcW w:w="1203" w:type="dxa"/>
            <w:shd w:val="clear" w:color="auto" w:fill="auto"/>
            <w:vAlign w:val="center"/>
          </w:tcPr>
          <w:p w:rsidR="00284200" w:rsidRDefault="00284200" w:rsidP="006A7837">
            <w:pPr>
              <w:spacing w:before="60" w:after="60"/>
              <w:jc w:val="center"/>
              <w:rPr>
                <w:b/>
              </w:rPr>
            </w:pPr>
          </w:p>
        </w:tc>
        <w:tc>
          <w:tcPr>
            <w:tcW w:w="1436" w:type="dxa"/>
            <w:shd w:val="clear" w:color="auto" w:fill="auto"/>
            <w:vAlign w:val="center"/>
          </w:tcPr>
          <w:p w:rsidR="00284200" w:rsidRDefault="00284200" w:rsidP="002E0D6A">
            <w:pPr>
              <w:jc w:val="center"/>
            </w:pPr>
            <w:r>
              <w:t>§ 18</w:t>
            </w:r>
          </w:p>
        </w:tc>
        <w:tc>
          <w:tcPr>
            <w:tcW w:w="6642" w:type="dxa"/>
            <w:shd w:val="clear" w:color="auto" w:fill="auto"/>
          </w:tcPr>
          <w:p w:rsidR="00284200" w:rsidRPr="00284200" w:rsidRDefault="00284200" w:rsidP="00284200">
            <w:pPr>
              <w:jc w:val="both"/>
            </w:pPr>
            <w:r w:rsidRPr="00284200">
              <w:t>Podtrzymać należy uwagę dotyczącą § 18, określa</w:t>
            </w:r>
            <w:r>
              <w:t>jącego</w:t>
            </w:r>
            <w:r w:rsidRPr="00284200">
              <w:t xml:space="preserve"> warunki przechowywania</w:t>
            </w:r>
            <w:r>
              <w:t xml:space="preserve"> </w:t>
            </w:r>
            <w:r w:rsidRPr="00284200">
              <w:t>i archiwizowania dokumentów w zakresie potwierdzania, przedłużania i unieważniania</w:t>
            </w:r>
            <w:r>
              <w:t xml:space="preserve"> profil</w:t>
            </w:r>
            <w:r w:rsidRPr="00284200">
              <w:t>u zaufanego</w:t>
            </w:r>
            <w:r>
              <w:t xml:space="preserve">. Ponadto należy zwrócić uwagę na nieprawidłowość odesłania w ust. 3 do danych, o których mowa  w ust. 1, w którym jest mowa o dokumentach papierowych i warunkach, w jakich należy je przechowywać.   </w:t>
            </w:r>
          </w:p>
        </w:tc>
        <w:tc>
          <w:tcPr>
            <w:tcW w:w="4514" w:type="dxa"/>
            <w:shd w:val="clear" w:color="auto" w:fill="auto"/>
          </w:tcPr>
          <w:p w:rsidR="00284200" w:rsidRDefault="00284200" w:rsidP="00651688">
            <w:pPr>
              <w:spacing w:line="276" w:lineRule="auto"/>
              <w:jc w:val="both"/>
            </w:pPr>
          </w:p>
        </w:tc>
      </w:tr>
      <w:tr w:rsidR="00B67B92" w:rsidTr="006A7837">
        <w:trPr>
          <w:jc w:val="center"/>
        </w:trPr>
        <w:tc>
          <w:tcPr>
            <w:tcW w:w="750" w:type="dxa"/>
            <w:shd w:val="clear" w:color="auto" w:fill="auto"/>
            <w:vAlign w:val="center"/>
          </w:tcPr>
          <w:p w:rsidR="00B67B92" w:rsidRPr="004D086F" w:rsidRDefault="00B67B92" w:rsidP="006A7837">
            <w:pPr>
              <w:numPr>
                <w:ilvl w:val="0"/>
                <w:numId w:val="3"/>
              </w:numPr>
              <w:spacing w:before="60" w:after="60"/>
              <w:jc w:val="center"/>
              <w:rPr>
                <w:b/>
              </w:rPr>
            </w:pPr>
          </w:p>
        </w:tc>
        <w:tc>
          <w:tcPr>
            <w:tcW w:w="1203" w:type="dxa"/>
            <w:shd w:val="clear" w:color="auto" w:fill="auto"/>
            <w:vAlign w:val="center"/>
          </w:tcPr>
          <w:p w:rsidR="00B67B92" w:rsidRDefault="00B67B92" w:rsidP="006A7837">
            <w:pPr>
              <w:spacing w:before="60" w:after="60"/>
              <w:jc w:val="center"/>
              <w:rPr>
                <w:b/>
              </w:rPr>
            </w:pPr>
          </w:p>
        </w:tc>
        <w:tc>
          <w:tcPr>
            <w:tcW w:w="1436" w:type="dxa"/>
            <w:shd w:val="clear" w:color="auto" w:fill="auto"/>
            <w:vAlign w:val="center"/>
          </w:tcPr>
          <w:p w:rsidR="00B67B92" w:rsidRDefault="00D90913" w:rsidP="002E0D6A">
            <w:pPr>
              <w:jc w:val="center"/>
            </w:pPr>
            <w:r>
              <w:t>§ 20 ust. 1 pkt 4 i § 21 ust. 2</w:t>
            </w:r>
          </w:p>
        </w:tc>
        <w:tc>
          <w:tcPr>
            <w:tcW w:w="6642" w:type="dxa"/>
            <w:shd w:val="clear" w:color="auto" w:fill="auto"/>
          </w:tcPr>
          <w:p w:rsidR="00F46175" w:rsidRDefault="00AF36FB" w:rsidP="00F46175">
            <w:pPr>
              <w:jc w:val="both"/>
            </w:pPr>
            <w:r w:rsidRPr="00F46175">
              <w:t xml:space="preserve">Nadal podać w wątpliwość należy przepisy § 20 ust. 1 pkt 4 lit. a oraz § 21 ust. 2 w zakresie potwierdzania przez podmiot niepubliczny tożsamości osoby w trakcie nagrywanej transmisji audiowizualnej. </w:t>
            </w:r>
            <w:r w:rsidR="007A7DDC" w:rsidRPr="00F46175">
              <w:t xml:space="preserve">Jak wynika z wyjaśnień Projektodawcy przepisy te dotyczą sytuacji </w:t>
            </w:r>
            <w:r w:rsidR="00F46175">
              <w:t xml:space="preserve"> </w:t>
            </w:r>
            <w:r w:rsidR="00F46175" w:rsidRPr="00F46175">
              <w:t>o których mowa w</w:t>
            </w:r>
            <w:r w:rsidR="00F46175">
              <w:t xml:space="preserve"> </w:t>
            </w:r>
            <w:r w:rsidR="000B2553">
              <w:t>art. 20c ust. 1 pkt 3,</w:t>
            </w:r>
            <w:r w:rsidR="00F46175" w:rsidRPr="00F46175">
              <w:t xml:space="preserve"> </w:t>
            </w:r>
            <w:r w:rsidR="000B2553">
              <w:t>w</w:t>
            </w:r>
            <w:r w:rsidR="00F46175" w:rsidRPr="00F46175">
              <w:t xml:space="preserve"> związku z </w:t>
            </w:r>
            <w:r w:rsidR="000B2553">
              <w:t>czym</w:t>
            </w:r>
            <w:r w:rsidR="00F46175" w:rsidRPr="00F46175">
              <w:t xml:space="preserve"> minister</w:t>
            </w:r>
            <w:r w:rsidR="00F46175">
              <w:t xml:space="preserve"> </w:t>
            </w:r>
            <w:r w:rsidR="00F46175" w:rsidRPr="00F46175">
              <w:t>określa te warunki na podstawie upoważnienia</w:t>
            </w:r>
            <w:r w:rsidR="00F46175">
              <w:t xml:space="preserve"> </w:t>
            </w:r>
            <w:r w:rsidR="00F46175" w:rsidRPr="00F46175">
              <w:t>zawartego w art. 20d pkt 1 lit. h</w:t>
            </w:r>
            <w:r w:rsidR="000B2553">
              <w:t xml:space="preserve"> ustawy</w:t>
            </w:r>
            <w:r w:rsidR="00F46175">
              <w:t xml:space="preserve"> </w:t>
            </w:r>
            <w:r w:rsidR="000B2553">
              <w:t>(a</w:t>
            </w:r>
            <w:r w:rsidR="00F46175">
              <w:t xml:space="preserve"> banki wydają już środki identyfikacji elektronicznej z wykorzystaniem</w:t>
            </w:r>
          </w:p>
          <w:p w:rsidR="000B2553" w:rsidRDefault="00F46175" w:rsidP="00F46175">
            <w:pPr>
              <w:jc w:val="both"/>
            </w:pPr>
            <w:proofErr w:type="spellStart"/>
            <w:r>
              <w:t>wideoweryfikacji</w:t>
            </w:r>
            <w:proofErr w:type="spellEnd"/>
            <w:r>
              <w:t xml:space="preserve"> na podstawie przepisów odrębnych</w:t>
            </w:r>
            <w:r w:rsidR="000B2553">
              <w:t>)</w:t>
            </w:r>
            <w:r>
              <w:t xml:space="preserve">. </w:t>
            </w:r>
          </w:p>
          <w:p w:rsidR="008656D5" w:rsidRPr="000B2553" w:rsidRDefault="000B2553" w:rsidP="008656D5">
            <w:pPr>
              <w:jc w:val="both"/>
              <w:rPr>
                <w:b/>
              </w:rPr>
            </w:pPr>
            <w:r>
              <w:t xml:space="preserve">        </w:t>
            </w:r>
            <w:r w:rsidR="008656D5">
              <w:t xml:space="preserve">Jednak wskazać trzeba, że uzasadnienie w tym zakresie </w:t>
            </w:r>
            <w:r>
              <w:t>wskazuje</w:t>
            </w:r>
            <w:r w:rsidR="008656D5">
              <w:t xml:space="preserve"> jako podstaw</w:t>
            </w:r>
            <w:r>
              <w:t>ę</w:t>
            </w:r>
            <w:r w:rsidR="008656D5">
              <w:t xml:space="preserve"> </w:t>
            </w:r>
            <w:r>
              <w:t xml:space="preserve">przyjętego </w:t>
            </w:r>
            <w:r w:rsidR="008656D5">
              <w:t>rozwiązania – możliwość zdalnego potwierdzania tożsamości przy tymczasowym profilu zaufanym i mówi jedynie: „</w:t>
            </w:r>
            <w:r w:rsidR="008656D5" w:rsidRPr="008656D5">
              <w:rPr>
                <w:i/>
              </w:rPr>
              <w:t xml:space="preserve">mając na uwadze </w:t>
            </w:r>
            <w:r w:rsidR="008656D5" w:rsidRPr="008656D5">
              <w:rPr>
                <w:b/>
                <w:i/>
                <w:u w:val="single"/>
              </w:rPr>
              <w:t>umocowaną już ustawowo możliwość zdalnego potwierdzania tożsamości osoby wnioskującej o profil zaufany</w:t>
            </w:r>
            <w:r w:rsidR="008656D5" w:rsidRPr="008656D5">
              <w:rPr>
                <w:i/>
                <w:u w:val="single"/>
              </w:rPr>
              <w:t xml:space="preserve"> w oparciu o dokument tożsamości </w:t>
            </w:r>
            <w:r w:rsidR="008656D5" w:rsidRPr="008656D5">
              <w:rPr>
                <w:i/>
                <w:u w:val="single"/>
              </w:rPr>
              <w:lastRenderedPageBreak/>
              <w:t>okazywany zdalnie podczas transmisji audiowizualnej</w:t>
            </w:r>
            <w:r w:rsidR="008656D5" w:rsidRPr="008656D5">
              <w:rPr>
                <w:i/>
              </w:rPr>
              <w:t>, panującą epidemię COVID-19, jak również gotowość systemów teleinformatycznych stosowanych w bankowości elektronicznej</w:t>
            </w:r>
            <w:r w:rsidR="008656D5">
              <w:rPr>
                <w:i/>
              </w:rPr>
              <w:t xml:space="preserve"> </w:t>
            </w:r>
            <w:r w:rsidR="008656D5" w:rsidRPr="008656D5">
              <w:rPr>
                <w:i/>
              </w:rPr>
              <w:t xml:space="preserve"> </w:t>
            </w:r>
            <w:r w:rsidR="008656D5" w:rsidRPr="000B2553">
              <w:rPr>
                <w:b/>
                <w:i/>
                <w:u w:val="single"/>
              </w:rPr>
              <w:t>umożliwiono także</w:t>
            </w:r>
          </w:p>
          <w:p w:rsidR="008656D5" w:rsidRPr="008656D5" w:rsidRDefault="008656D5" w:rsidP="008656D5">
            <w:pPr>
              <w:jc w:val="both"/>
              <w:rPr>
                <w:i/>
                <w:u w:val="single"/>
              </w:rPr>
            </w:pPr>
            <w:r w:rsidRPr="000B2553">
              <w:rPr>
                <w:b/>
                <w:i/>
                <w:u w:val="single"/>
              </w:rPr>
              <w:t>potwierdzenie profilu zaufanego</w:t>
            </w:r>
            <w:r w:rsidRPr="008656D5">
              <w:rPr>
                <w:i/>
                <w:u w:val="single"/>
              </w:rPr>
              <w:t xml:space="preserve"> za pomocą środka identyfikacji</w:t>
            </w:r>
            <w:r w:rsidRPr="008656D5">
              <w:rPr>
                <w:u w:val="single"/>
              </w:rPr>
              <w:t xml:space="preserve"> </w:t>
            </w:r>
            <w:r w:rsidRPr="008656D5">
              <w:rPr>
                <w:i/>
                <w:u w:val="single"/>
              </w:rPr>
              <w:t>elektronicznej podmiotu niepublicznego wydanego zdalnie w oparciu o potwierdzenie tożsamości realizowane w trakcie</w:t>
            </w:r>
          </w:p>
          <w:p w:rsidR="00F46175" w:rsidRDefault="008656D5" w:rsidP="008656D5">
            <w:pPr>
              <w:jc w:val="both"/>
              <w:rPr>
                <w:i/>
              </w:rPr>
            </w:pPr>
            <w:r w:rsidRPr="008656D5">
              <w:rPr>
                <w:i/>
                <w:u w:val="single"/>
              </w:rPr>
              <w:t>nagrywanej w czasie rzeczywistym transmisji audiowizualnej</w:t>
            </w:r>
            <w:r w:rsidRPr="008656D5">
              <w:rPr>
                <w:i/>
              </w:rPr>
              <w:t>, podczas której okazywany jest</w:t>
            </w:r>
            <w:r>
              <w:rPr>
                <w:i/>
              </w:rPr>
              <w:t xml:space="preserve"> </w:t>
            </w:r>
            <w:r w:rsidRPr="008656D5">
              <w:rPr>
                <w:i/>
              </w:rPr>
              <w:t>dokument tożsamości, który zawiera numer PESEL</w:t>
            </w:r>
            <w:r>
              <w:rPr>
                <w:i/>
              </w:rPr>
              <w:t>.”</w:t>
            </w:r>
            <w:r w:rsidR="000B2553">
              <w:rPr>
                <w:i/>
              </w:rPr>
              <w:t>.</w:t>
            </w:r>
          </w:p>
          <w:p w:rsidR="000B2553" w:rsidRPr="000B2553" w:rsidRDefault="000B2553" w:rsidP="000B2553">
            <w:pPr>
              <w:jc w:val="both"/>
            </w:pPr>
            <w:r>
              <w:t xml:space="preserve">Podkreślić należy, że możliwość </w:t>
            </w:r>
            <w:r w:rsidRPr="000B2553">
              <w:t xml:space="preserve"> </w:t>
            </w:r>
            <w:r>
              <w:t xml:space="preserve">zdalnej weryfikacji tożsamości przy tymczasowym profilu zaufania nie jest podstawą do takich czynności w przypadku </w:t>
            </w:r>
            <w:r w:rsidRPr="000B2553">
              <w:t>sytuacji  o których mowa w art. 20c ust. 1 pkt 3</w:t>
            </w:r>
            <w:r>
              <w:t xml:space="preserve">. Wskazane przepisy powinny zostać więc usunięte z projektu, bądź, jeżeli mają umocowanie w ustawie – podstawa taka powinna zostać przedstawiona w uzasadnieniu. </w:t>
            </w:r>
          </w:p>
        </w:tc>
        <w:tc>
          <w:tcPr>
            <w:tcW w:w="4514" w:type="dxa"/>
            <w:shd w:val="clear" w:color="auto" w:fill="auto"/>
          </w:tcPr>
          <w:p w:rsidR="00B67B92" w:rsidRDefault="00E10973" w:rsidP="00E10973">
            <w:pPr>
              <w:spacing w:line="276" w:lineRule="auto"/>
              <w:jc w:val="both"/>
            </w:pPr>
            <w:r>
              <w:lastRenderedPageBreak/>
              <w:t xml:space="preserve">Rozbudowanie uzasadnienia o wskazanie podstawy prawnej przyjętego rozwiązania </w:t>
            </w:r>
          </w:p>
        </w:tc>
      </w:tr>
    </w:tbl>
    <w:p w:rsidR="00C64B1B" w:rsidRDefault="00C64B1B" w:rsidP="00C64B1B">
      <w:pPr>
        <w:jc w:val="center"/>
      </w:pPr>
      <w:bookmarkStart w:id="0" w:name="_GoBack"/>
      <w:bookmarkEnd w:id="0"/>
    </w:p>
    <w:sectPr w:rsidR="00C64B1B" w:rsidSect="00630397">
      <w:footerReference w:type="default" r:id="rId8"/>
      <w:pgSz w:w="16838" w:h="11906" w:orient="landscape"/>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6F73" w:rsidRDefault="00246F73" w:rsidP="006F2464">
      <w:r>
        <w:separator/>
      </w:r>
    </w:p>
  </w:endnote>
  <w:endnote w:type="continuationSeparator" w:id="0">
    <w:p w:rsidR="00246F73" w:rsidRDefault="00246F73" w:rsidP="006F2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4C2" w:rsidRDefault="002144C2">
    <w:pPr>
      <w:pStyle w:val="Stopka"/>
      <w:jc w:val="right"/>
    </w:pPr>
    <w:r>
      <w:fldChar w:fldCharType="begin"/>
    </w:r>
    <w:r>
      <w:instrText xml:space="preserve"> PAGE   \* MERGEFORMAT </w:instrText>
    </w:r>
    <w:r>
      <w:fldChar w:fldCharType="separate"/>
    </w:r>
    <w:r w:rsidR="007363D6">
      <w:rPr>
        <w:noProof/>
      </w:rPr>
      <w:t>4</w:t>
    </w:r>
    <w:r>
      <w:rPr>
        <w:noProof/>
      </w:rPr>
      <w:fldChar w:fldCharType="end"/>
    </w:r>
  </w:p>
  <w:p w:rsidR="002144C2" w:rsidRDefault="002144C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6F73" w:rsidRDefault="00246F73" w:rsidP="006F2464">
      <w:r>
        <w:separator/>
      </w:r>
    </w:p>
  </w:footnote>
  <w:footnote w:type="continuationSeparator" w:id="0">
    <w:p w:rsidR="00246F73" w:rsidRDefault="00246F73" w:rsidP="006F24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2632F"/>
    <w:multiLevelType w:val="hybridMultilevel"/>
    <w:tmpl w:val="BA2808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8106B08"/>
    <w:multiLevelType w:val="hybridMultilevel"/>
    <w:tmpl w:val="F8684A5A"/>
    <w:lvl w:ilvl="0" w:tplc="4D58C068">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7AD16EF5"/>
    <w:multiLevelType w:val="hybridMultilevel"/>
    <w:tmpl w:val="8A9C0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837"/>
    <w:rsid w:val="00034258"/>
    <w:rsid w:val="000B2553"/>
    <w:rsid w:val="000F70DC"/>
    <w:rsid w:val="00120996"/>
    <w:rsid w:val="001405A7"/>
    <w:rsid w:val="00204D78"/>
    <w:rsid w:val="002144C2"/>
    <w:rsid w:val="00245F61"/>
    <w:rsid w:val="00246F73"/>
    <w:rsid w:val="002715B2"/>
    <w:rsid w:val="002830F3"/>
    <w:rsid w:val="00284200"/>
    <w:rsid w:val="002A69AA"/>
    <w:rsid w:val="002C3EF7"/>
    <w:rsid w:val="002E0D6A"/>
    <w:rsid w:val="003124D1"/>
    <w:rsid w:val="00371A2B"/>
    <w:rsid w:val="003C5A07"/>
    <w:rsid w:val="003E4667"/>
    <w:rsid w:val="00462ED0"/>
    <w:rsid w:val="0047105F"/>
    <w:rsid w:val="0048004E"/>
    <w:rsid w:val="00494158"/>
    <w:rsid w:val="004D086F"/>
    <w:rsid w:val="005276C2"/>
    <w:rsid w:val="005310EA"/>
    <w:rsid w:val="00540339"/>
    <w:rsid w:val="00564F2F"/>
    <w:rsid w:val="005728C0"/>
    <w:rsid w:val="005967FA"/>
    <w:rsid w:val="005E12C0"/>
    <w:rsid w:val="005F6527"/>
    <w:rsid w:val="00630397"/>
    <w:rsid w:val="00651688"/>
    <w:rsid w:val="00652FFF"/>
    <w:rsid w:val="006705EC"/>
    <w:rsid w:val="006A7837"/>
    <w:rsid w:val="006E16E9"/>
    <w:rsid w:val="006F2464"/>
    <w:rsid w:val="007343EB"/>
    <w:rsid w:val="007363D6"/>
    <w:rsid w:val="00761841"/>
    <w:rsid w:val="00764098"/>
    <w:rsid w:val="007A40EC"/>
    <w:rsid w:val="007A7DDC"/>
    <w:rsid w:val="007D309D"/>
    <w:rsid w:val="007E156A"/>
    <w:rsid w:val="00807385"/>
    <w:rsid w:val="00834518"/>
    <w:rsid w:val="008656D5"/>
    <w:rsid w:val="00885551"/>
    <w:rsid w:val="00893600"/>
    <w:rsid w:val="008C1A18"/>
    <w:rsid w:val="008C1BB1"/>
    <w:rsid w:val="00924BEE"/>
    <w:rsid w:val="00944932"/>
    <w:rsid w:val="00961A22"/>
    <w:rsid w:val="009C6C55"/>
    <w:rsid w:val="00A9613E"/>
    <w:rsid w:val="00AC59E1"/>
    <w:rsid w:val="00AC6AD3"/>
    <w:rsid w:val="00AF36FB"/>
    <w:rsid w:val="00B67B92"/>
    <w:rsid w:val="00B72633"/>
    <w:rsid w:val="00C64B1B"/>
    <w:rsid w:val="00C82EA3"/>
    <w:rsid w:val="00C86AA6"/>
    <w:rsid w:val="00C86B63"/>
    <w:rsid w:val="00CC4E21"/>
    <w:rsid w:val="00CF662D"/>
    <w:rsid w:val="00D90913"/>
    <w:rsid w:val="00E00FD9"/>
    <w:rsid w:val="00E10973"/>
    <w:rsid w:val="00E14C33"/>
    <w:rsid w:val="00EC1D6D"/>
    <w:rsid w:val="00F36B6D"/>
    <w:rsid w:val="00F46175"/>
    <w:rsid w:val="00F93B81"/>
    <w:rsid w:val="00FD17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310EA"/>
    <w:pPr>
      <w:spacing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rsid w:val="006F2464"/>
    <w:rPr>
      <w:rFonts w:ascii="Tahoma" w:hAnsi="Tahoma" w:cs="Tahoma"/>
      <w:sz w:val="16"/>
      <w:szCs w:val="16"/>
    </w:rPr>
  </w:style>
  <w:style w:type="character" w:customStyle="1" w:styleId="TekstdymkaZnak">
    <w:name w:val="Tekst dymka Znak"/>
    <w:link w:val="Tekstdymka"/>
    <w:rsid w:val="006F2464"/>
    <w:rPr>
      <w:rFonts w:ascii="Tahoma" w:hAnsi="Tahoma" w:cs="Tahoma"/>
      <w:sz w:val="16"/>
      <w:szCs w:val="16"/>
    </w:rPr>
  </w:style>
  <w:style w:type="paragraph" w:styleId="Nagwek">
    <w:name w:val="header"/>
    <w:basedOn w:val="Normalny"/>
    <w:link w:val="NagwekZnak"/>
    <w:rsid w:val="006F2464"/>
    <w:pPr>
      <w:tabs>
        <w:tab w:val="center" w:pos="4536"/>
        <w:tab w:val="right" w:pos="9072"/>
      </w:tabs>
    </w:pPr>
  </w:style>
  <w:style w:type="character" w:customStyle="1" w:styleId="NagwekZnak">
    <w:name w:val="Nagłówek Znak"/>
    <w:link w:val="Nagwek"/>
    <w:rsid w:val="006F2464"/>
    <w:rPr>
      <w:sz w:val="24"/>
      <w:szCs w:val="24"/>
    </w:rPr>
  </w:style>
  <w:style w:type="paragraph" w:styleId="Stopka">
    <w:name w:val="footer"/>
    <w:basedOn w:val="Normalny"/>
    <w:link w:val="StopkaZnak"/>
    <w:uiPriority w:val="99"/>
    <w:rsid w:val="006F2464"/>
    <w:pPr>
      <w:tabs>
        <w:tab w:val="center" w:pos="4536"/>
        <w:tab w:val="right" w:pos="9072"/>
      </w:tabs>
    </w:pPr>
  </w:style>
  <w:style w:type="character" w:customStyle="1" w:styleId="StopkaZnak">
    <w:name w:val="Stopka Znak"/>
    <w:link w:val="Stopka"/>
    <w:uiPriority w:val="99"/>
    <w:rsid w:val="006F246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5310EA"/>
    <w:pPr>
      <w:spacing w:line="276" w:lineRule="auto"/>
      <w:ind w:left="720"/>
      <w:contextualSpacing/>
    </w:pPr>
    <w:rPr>
      <w:rFonts w:ascii="Calibri" w:eastAsia="Calibri" w:hAnsi="Calibri"/>
      <w:sz w:val="22"/>
      <w:szCs w:val="22"/>
      <w:lang w:eastAsia="en-US"/>
    </w:rPr>
  </w:style>
  <w:style w:type="paragraph" w:styleId="Tekstdymka">
    <w:name w:val="Balloon Text"/>
    <w:basedOn w:val="Normalny"/>
    <w:link w:val="TekstdymkaZnak"/>
    <w:rsid w:val="006F2464"/>
    <w:rPr>
      <w:rFonts w:ascii="Tahoma" w:hAnsi="Tahoma" w:cs="Tahoma"/>
      <w:sz w:val="16"/>
      <w:szCs w:val="16"/>
    </w:rPr>
  </w:style>
  <w:style w:type="character" w:customStyle="1" w:styleId="TekstdymkaZnak">
    <w:name w:val="Tekst dymka Znak"/>
    <w:link w:val="Tekstdymka"/>
    <w:rsid w:val="006F2464"/>
    <w:rPr>
      <w:rFonts w:ascii="Tahoma" w:hAnsi="Tahoma" w:cs="Tahoma"/>
      <w:sz w:val="16"/>
      <w:szCs w:val="16"/>
    </w:rPr>
  </w:style>
  <w:style w:type="paragraph" w:styleId="Nagwek">
    <w:name w:val="header"/>
    <w:basedOn w:val="Normalny"/>
    <w:link w:val="NagwekZnak"/>
    <w:rsid w:val="006F2464"/>
    <w:pPr>
      <w:tabs>
        <w:tab w:val="center" w:pos="4536"/>
        <w:tab w:val="right" w:pos="9072"/>
      </w:tabs>
    </w:pPr>
  </w:style>
  <w:style w:type="character" w:customStyle="1" w:styleId="NagwekZnak">
    <w:name w:val="Nagłówek Znak"/>
    <w:link w:val="Nagwek"/>
    <w:rsid w:val="006F2464"/>
    <w:rPr>
      <w:sz w:val="24"/>
      <w:szCs w:val="24"/>
    </w:rPr>
  </w:style>
  <w:style w:type="paragraph" w:styleId="Stopka">
    <w:name w:val="footer"/>
    <w:basedOn w:val="Normalny"/>
    <w:link w:val="StopkaZnak"/>
    <w:uiPriority w:val="99"/>
    <w:rsid w:val="006F2464"/>
    <w:pPr>
      <w:tabs>
        <w:tab w:val="center" w:pos="4536"/>
        <w:tab w:val="right" w:pos="9072"/>
      </w:tabs>
    </w:pPr>
  </w:style>
  <w:style w:type="character" w:customStyle="1" w:styleId="StopkaZnak">
    <w:name w:val="Stopka Znak"/>
    <w:link w:val="Stopka"/>
    <w:uiPriority w:val="99"/>
    <w:rsid w:val="006F246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arbarczyk\Desktop\szablon%20-%20KRMC%20tabela.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szablon - KRMC tabela</Template>
  <TotalTime>236</TotalTime>
  <Pages>1</Pages>
  <Words>956</Words>
  <Characters>5741</Characters>
  <Application>Microsoft Office Word</Application>
  <DocSecurity>0</DocSecurity>
  <Lines>47</Lines>
  <Paragraphs>13</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Garbarczyk</dc:creator>
  <cp:lastModifiedBy>Trojanowska-Wysocka Barbara</cp:lastModifiedBy>
  <cp:revision>26</cp:revision>
  <cp:lastPrinted>2012-08-20T11:53:00Z</cp:lastPrinted>
  <dcterms:created xsi:type="dcterms:W3CDTF">2015-01-27T10:05:00Z</dcterms:created>
  <dcterms:modified xsi:type="dcterms:W3CDTF">2020-06-05T14:57:00Z</dcterms:modified>
</cp:coreProperties>
</file>